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F3DF3">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F3DF3">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F3DF3">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F3DF3">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F3DF3">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F3DF3">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F3DF3">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F3DF3">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F3DF3">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F3DF3">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F3DF3">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F3DF3">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F3DF3">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F3DF3">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F3DF3">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F3DF3">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F3DF3">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F3DF3">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F3DF3">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F3DF3">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F3DF3">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F3DF3">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F3DF3">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F3DF3">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F3DF3">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F3DF3">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F3DF3">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F3DF3">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F3DF3">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F3DF3">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F3DF3">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F3DF3">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F3DF3">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F3DF3">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F3DF3">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F3DF3">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F3DF3">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F3DF3">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F3DF3">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F3DF3">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F3DF3">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F3DF3">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F3DF3">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F3DF3">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F3DF3">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F3DF3">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88B21F7" w:rsidR="00093CA9" w:rsidRDefault="00AF2C89" w:rsidP="00093CA9">
            <w:r w:rsidRPr="00AF2C89">
              <w:t>Commission Delegated Regulations (EU) 2021/1253, 2021/1255 and 2021/1257 of 21 April 2021 and 2015/35 of 10 October 2014 (relevant to investment firms, AIFs and insurers)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8586272" w14:textId="6F51061A" w:rsidR="001B59D0" w:rsidRPr="001B59D0" w:rsidRDefault="005F3DF3" w:rsidP="00093CA9">
            <w:hyperlink r:id="rId17" w:history="1">
              <w:r w:rsidR="001B59D0" w:rsidRPr="001B59D0">
                <w:rPr>
                  <w:rStyle w:val="Hyperlink"/>
                </w:rPr>
                <w:t>https://web.archive.org/save/https://eur-lex.europa.eu/eli/reg_del/2021/1253/oj/eng</w:t>
              </w:r>
            </w:hyperlink>
          </w:p>
          <w:p w14:paraId="3BCEBB5E" w14:textId="0F4E8F15" w:rsidR="00BC5A37" w:rsidRDefault="005F3DF3" w:rsidP="00093CA9">
            <w:hyperlink r:id="rId18" w:history="1">
              <w:r w:rsidR="00BC5A37" w:rsidRPr="003F76B5">
                <w:rPr>
                  <w:rStyle w:val="Hyperlink"/>
                </w:rPr>
                <w:t>https://web.archive.org/web/20250729162304/https://eur-lex.europa.eu/eli/reg_del/2021/1255/oj/eng</w:t>
              </w:r>
            </w:hyperlink>
          </w:p>
          <w:p w14:paraId="1523C232" w14:textId="11804AAA" w:rsidR="00BC5A37" w:rsidRDefault="005F3DF3" w:rsidP="00093CA9">
            <w:hyperlink r:id="rId19" w:history="1">
              <w:r w:rsidR="00BC5A37" w:rsidRPr="003F76B5">
                <w:rPr>
                  <w:rStyle w:val="Hyperlink"/>
                </w:rPr>
                <w:t>https://web.archive.org/web/20250729162316/https://eur-lex.europa.eu/eli/reg_del/2021/1257/oj/eng</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3DE1AF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46CEFC1" w:rsidR="00093CA9" w:rsidRDefault="00AF2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BD0DE33" w14:textId="2BB6742D" w:rsidR="0007152C" w:rsidRDefault="0007152C" w:rsidP="0007152C">
            <w:r>
              <w:t>The three Delegated Regulations</w:t>
            </w:r>
            <w:r w:rsidR="00B04262">
              <w:t xml:space="preserve"> – </w:t>
            </w:r>
            <w:r>
              <w:t>(EU) 2021/1253, 2021/1255, and 2021/125</w:t>
            </w:r>
            <w:r w:rsidR="00B04262">
              <w:t xml:space="preserve">7 – </w:t>
            </w:r>
            <w:r>
              <w:t>are regulatory instruments adopted by the European Commission to integrate sustainability and climate-related risks into the internal governance and risk management frameworks of financial institutions. They amend existing sector-specific regulations under MiFID II, the AIFM Directive, and Solvency II, respectively, and are commonly referred to as the Delegated Regulations on ESG integration or collectively as part of the EU sustainable finance package. Their goal is to ensure that investment firms, alternative investment fund managers (AIFMs), and (re)insurance undertakings properly incorporate sustainability risks and, where relevant, sustainability factors into key operational areas such as risk management, due diligence, conflicts of interest, investment decision-making, and governance structures. They are designed to complement disclosure-focused regulations like the Sustainable Finance Disclosure Regulation (SFDR) and the EU Taxonomy Regulation.</w:t>
            </w:r>
          </w:p>
          <w:p w14:paraId="18257824" w14:textId="66E9015F" w:rsidR="00CB7C6E" w:rsidRDefault="0007152C" w:rsidP="0007152C">
            <w:r>
              <w:t>Though tailored to different types of financial entities, the regulations have overlapping objectives and structures. They require the integration of sustainability risks into existing prudential and governance requirements without prescribing specific metrics, thresholds, or disclosure obligations. Their relevance spans multiple domains, including risk management, governance, and prudential oversight, and their application is mandatory for the entities covered under each respective framework.</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EBB31B4" w:rsidR="00093CA9" w:rsidRDefault="00D27B8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788408" w:rsidR="00093CA9" w:rsidRPr="00173D7C" w:rsidRDefault="00D27B8C"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BC8AD85" w:rsidR="00093CA9" w:rsidRPr="00173D7C" w:rsidRDefault="00D27B8C" w:rsidP="00093CA9">
            <w:pPr>
              <w:rPr>
                <w:color w:val="000000" w:themeColor="text1"/>
              </w:rPr>
            </w:pPr>
            <w:r>
              <w:rPr>
                <w:color w:val="000000" w:themeColor="text1"/>
              </w:rPr>
              <w:t>2021</w:t>
            </w:r>
            <w:r w:rsidR="001B6CFA">
              <w:rPr>
                <w:color w:val="000000" w:themeColor="text1"/>
              </w:rPr>
              <w:t xml:space="preserve"> (all three applied from 2022 onwards)</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D65F30D" w:rsidR="00093CA9" w:rsidRDefault="00F009C4" w:rsidP="00093CA9">
            <w:r>
              <w:t>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87F7183" w:rsidR="00093CA9" w:rsidRPr="006B7B0D" w:rsidRDefault="00FE6180" w:rsidP="00093CA9">
            <w:r>
              <w:t>European Securities and Markets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C7EE5B2"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AE62F69" w:rsidR="00093CA9" w:rsidRPr="006B7B0D" w:rsidRDefault="001B5E67"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7BA4004"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04CC79D" w:rsidR="00093CA9" w:rsidRPr="006B7B0D" w:rsidRDefault="00E01D79" w:rsidP="00093CA9">
            <w:r>
              <w:t>European Insurance and Occupational Pensions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22B9031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0160409A" w:rsidR="00093CA9" w:rsidRPr="006B7B0D" w:rsidRDefault="001B5E67"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471B678C"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CCFDB61" w:rsidR="00093CA9" w:rsidRPr="006B7B0D" w:rsidRDefault="004543FD" w:rsidP="00093CA9">
            <w:r>
              <w:t>European Commission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649B0625" w:rsidR="00093CA9" w:rsidRPr="006B7B0D" w:rsidRDefault="001B5E67"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2A47AE1C"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7C00069C" w14:textId="4A051FB3" w:rsidR="00E2533F" w:rsidRDefault="00E2533F" w:rsidP="00E2533F">
            <w:r>
              <w:t>The European Commission is the primary authority responsible for overseeing the implementation and enforcement of the Delegated Regulations, which is consistent with the legal framework for EU regulations. Since Delegated Regulations are directly applicable in all Member States, the Commission ensures they are correctly applied and may take enforcement action if Member States or firms fail to comply.</w:t>
            </w:r>
          </w:p>
          <w:p w14:paraId="42D06D03" w14:textId="3A238786" w:rsidR="00093CA9" w:rsidRDefault="00E2533F" w:rsidP="00E2533F">
            <w:r>
              <w:t>However, due to the technical nature of these regulations and the diversity of financial sectors they cover, sector-specific EU supervisory authorities play an important supporting role. ESMA (for investment firms and AIFMs) and EIOPA (for insurers and reinsurers) contribute to consistent application across Member States by issuing guidelines, supervisory briefings, and Q&amp;As. While these authorities do not have direct enforcement powers, they promote supervisory convergence by coordinating with national competent authorities.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F93E08D" w:rsidR="00093CA9" w:rsidRDefault="003E4C62"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4DE3C760" w14:textId="218DBDCB" w:rsidR="00040FD1" w:rsidRPr="00040FD1" w:rsidRDefault="00040FD1" w:rsidP="00040FD1">
            <w:pPr>
              <w:keepNext/>
              <w:rPr>
                <w:color w:val="000000" w:themeColor="text1"/>
              </w:rPr>
            </w:pPr>
            <w:r w:rsidRPr="00040FD1">
              <w:rPr>
                <w:color w:val="000000" w:themeColor="text1"/>
              </w:rPr>
              <w:t>The three Delegated Regulations</w:t>
            </w:r>
            <w:r>
              <w:rPr>
                <w:color w:val="000000" w:themeColor="text1"/>
              </w:rPr>
              <w:t xml:space="preserve"> </w:t>
            </w:r>
            <w:r w:rsidRPr="00040FD1">
              <w:rPr>
                <w:color w:val="000000" w:themeColor="text1"/>
              </w:rPr>
              <w:t xml:space="preserve">do not include any explicit monitoring systems within their text. They do not mandate periodic reporting, open data platforms, or public dashboards to oversee implementation or enforcement. </w:t>
            </w:r>
          </w:p>
          <w:p w14:paraId="2C2128DB" w14:textId="09D48446" w:rsidR="00093CA9" w:rsidRPr="008017F9" w:rsidRDefault="00040FD1" w:rsidP="00040FD1">
            <w:pPr>
              <w:keepNext/>
              <w:rPr>
                <w:color w:val="000000" w:themeColor="text1"/>
              </w:rPr>
            </w:pPr>
            <w:r w:rsidRPr="00040FD1">
              <w:rPr>
                <w:color w:val="000000" w:themeColor="text1"/>
              </w:rPr>
              <w:t>Monitoring and enforcement are instead handled through existing supervisory structures under MiFID II, AIFMD, and Solvency II. Any broader oversight</w:t>
            </w:r>
            <w:r>
              <w:rPr>
                <w:color w:val="000000" w:themeColor="text1"/>
              </w:rPr>
              <w:t xml:space="preserve">, </w:t>
            </w:r>
            <w:r w:rsidRPr="00040FD1">
              <w:rPr>
                <w:color w:val="000000" w:themeColor="text1"/>
              </w:rPr>
              <w:t>such as through periodic supervisory reviews or EU-wide assessment</w:t>
            </w:r>
            <w:r>
              <w:rPr>
                <w:color w:val="000000" w:themeColor="text1"/>
              </w:rPr>
              <w:t xml:space="preserve">s, </w:t>
            </w:r>
            <w:r w:rsidRPr="00040FD1">
              <w:rPr>
                <w:color w:val="000000" w:themeColor="text1"/>
              </w:rPr>
              <w:t>is not embedded in the Delegated Regulations themselves and would fall under the remit of sectoral legislation or supervisory practice, rather than being formally defined in these instruments.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BE3CD19"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7D40210E"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0410249"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9016915"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6293E2B"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742D50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9F46756"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02CFB46"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8B08CA3"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8102BBF"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F6B12C1"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9BB642F"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4FF3278"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D4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5C2B6C01"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8DB36BC"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5CCF9200"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222103B0"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679729D0"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510837E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2D2BF73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1E5F36A2"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45BFB0C1"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5ECB606"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4510032F"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256F759"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2D5BB992"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32EADE4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775DDACC"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69FCD3A"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1B91137F"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27A5B86B"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BA0AD13"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E1C8153"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69A3BAC"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5F00C55"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515B9FF"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D8D506B"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152D81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2398FB3"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554AA49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B98FCA3"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2720D381"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347D1"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077778" w:rsidRDefault="00107CE2" w:rsidP="00DD3144">
            <w:pPr>
              <w:rPr>
                <w:lang w:val="fr-FR"/>
              </w:rPr>
            </w:pPr>
            <w:r w:rsidRPr="00077778">
              <w:rPr>
                <w:lang w:val="fr-FR"/>
              </w:rPr>
              <w:t>Minimum revenue (Enter minimum revenue)</w:t>
            </w:r>
          </w:p>
        </w:tc>
        <w:tc>
          <w:tcPr>
            <w:tcW w:w="4910" w:type="dxa"/>
            <w:gridSpan w:val="7"/>
            <w:shd w:val="clear" w:color="auto" w:fill="auto"/>
            <w:vAlign w:val="center"/>
          </w:tcPr>
          <w:p w14:paraId="2518BD70" w14:textId="77777777" w:rsidR="00524D54" w:rsidRPr="00077778"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44784B5D" w:rsidR="00D01F80" w:rsidRPr="003577A4" w:rsidRDefault="00D01F80"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55EFF6B7"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53EAE7F7"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67055DC3"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34DEEBB5"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1D8B2B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30BF45A1"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214C96A2"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123B866B"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10A067E1"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4BDCE45"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309F1B5D"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25D8F3A7"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5C6B4A7" w:rsidR="00B064D5" w:rsidRDefault="00B064D5"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347D1"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77778" w:rsidRDefault="004F276F" w:rsidP="00C37D48">
            <w:pPr>
              <w:rPr>
                <w:rFonts w:ascii="Calibri" w:hAnsi="Calibri" w:cs="Calibri"/>
                <w:lang w:val="fr-FR"/>
              </w:rPr>
            </w:pPr>
            <w:r w:rsidRPr="00077778">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077778"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347D1"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77778" w:rsidRDefault="00C66EE0" w:rsidP="00610F28">
            <w:pPr>
              <w:rPr>
                <w:rFonts w:ascii="Calibri" w:hAnsi="Calibri" w:cs="Calibri"/>
                <w:lang w:val="fr-FR"/>
              </w:rPr>
            </w:pPr>
            <w:r w:rsidRPr="00077778">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077778"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347D1"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077778" w:rsidRDefault="00092534" w:rsidP="00CF2E7C">
            <w:pPr>
              <w:rPr>
                <w:rFonts w:ascii="Calibri" w:hAnsi="Calibri" w:cs="Calibri"/>
                <w:lang w:val="fr-FR"/>
              </w:rPr>
            </w:pPr>
            <w:r w:rsidRPr="00077778">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077778"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25024D6" w:rsidR="00D4323A" w:rsidRPr="00CF2E7C" w:rsidRDefault="00EB7150"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69F18A36" w:rsidR="00D4323A" w:rsidRPr="00CF2E7C" w:rsidRDefault="00EB7150" w:rsidP="00CF2E7C">
            <w:pPr>
              <w:rPr>
                <w:rFonts w:ascii="Calibri" w:hAnsi="Calibri" w:cs="Calibri"/>
              </w:rPr>
            </w:pPr>
            <w:r>
              <w:rPr>
                <w:rFonts w:ascii="Calibri" w:hAnsi="Calibri" w:cs="Calibri"/>
              </w:rPr>
              <w:t>X</w:t>
            </w: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07A2232D" w:rsidR="00D4323A" w:rsidRPr="00CF2E7C" w:rsidRDefault="00EB7150"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22C2B85" w:rsidR="00D4323A" w:rsidRPr="00CF2E7C" w:rsidRDefault="00EB7150"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38E73AC" w:rsidR="00D4323A" w:rsidRPr="00CF2E7C" w:rsidRDefault="00EB7150"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FD74A28" w:rsidR="00D4323A" w:rsidRPr="00CF2E7C" w:rsidRDefault="00EB7150"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144A6AB" w:rsidR="00D4323A" w:rsidRPr="00CF2E7C" w:rsidRDefault="00EB7150"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1BAA232" w:rsidR="00D4323A" w:rsidRPr="00CF2E7C" w:rsidRDefault="00EB7150"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4FED3B38" w:rsidR="00D4323A" w:rsidRPr="00CF2E7C" w:rsidRDefault="00EB7150"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5B05B220" w:rsidR="00D4323A" w:rsidRPr="00CF2E7C" w:rsidRDefault="00EB7150"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48F6D37" w:rsidR="00D4323A" w:rsidRPr="00CF2E7C" w:rsidRDefault="00EB7150"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D5D8690" w:rsidR="00D4323A" w:rsidRPr="00CF2E7C" w:rsidRDefault="00EB7150"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580002E6" w:rsidR="00D4323A" w:rsidRPr="00CF2E7C" w:rsidRDefault="00EB7150"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53E8393A" w:rsidR="00DD292A" w:rsidRPr="00CF2E7C" w:rsidRDefault="0052294E"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EE84070" w:rsidR="00DD292A" w:rsidRPr="00CF2E7C" w:rsidRDefault="0052294E"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EFCBE68" w:rsidR="00DD292A" w:rsidRPr="00CF2E7C" w:rsidRDefault="0052294E"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4121A50D" w:rsidR="00DD292A" w:rsidRPr="00CF2E7C" w:rsidRDefault="0052294E" w:rsidP="00CF2E7C">
            <w:pPr>
              <w:rPr>
                <w:rFonts w:ascii="Calibri" w:hAnsi="Calibri" w:cs="Calibri"/>
              </w:rPr>
            </w:pPr>
            <w:r>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2C5B492" w:rsidR="00DD292A" w:rsidRPr="00CF2E7C" w:rsidRDefault="0052294E"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28849E15" w:rsidR="00DD292A" w:rsidRPr="00CF2E7C" w:rsidRDefault="006E49E3"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1D463EA" w14:textId="77777777" w:rsidR="006E49E3" w:rsidRDefault="006E49E3" w:rsidP="006E49E3">
            <w:pPr>
              <w:rPr>
                <w:rFonts w:ascii="Calibri" w:hAnsi="Calibri" w:cs="Calibri"/>
              </w:rPr>
            </w:pPr>
            <w:r w:rsidRPr="006E49E3">
              <w:rPr>
                <w:rFonts w:ascii="Calibri" w:hAnsi="Calibri" w:cs="Calibri"/>
              </w:rPr>
              <w:t>The three Delegated Regulations</w:t>
            </w:r>
            <w:r>
              <w:rPr>
                <w:rFonts w:ascii="Calibri" w:hAnsi="Calibri" w:cs="Calibri"/>
              </w:rPr>
              <w:t xml:space="preserve"> </w:t>
            </w:r>
            <w:r w:rsidRPr="006E49E3">
              <w:rPr>
                <w:rFonts w:ascii="Calibri" w:hAnsi="Calibri" w:cs="Calibri"/>
              </w:rPr>
              <w:t>(EU) 2021/1253, 2021/1255, and 2021/1257</w:t>
            </w:r>
            <w:r>
              <w:rPr>
                <w:rFonts w:ascii="Calibri" w:hAnsi="Calibri" w:cs="Calibri"/>
              </w:rPr>
              <w:t xml:space="preserve"> </w:t>
            </w:r>
            <w:r w:rsidRPr="006E49E3">
              <w:rPr>
                <w:rFonts w:ascii="Calibri" w:hAnsi="Calibri" w:cs="Calibri"/>
              </w:rPr>
              <w:t>apply mandatorily to distinct categories of financial institutions within the EU regulatory framework.</w:t>
            </w:r>
          </w:p>
          <w:p w14:paraId="0708DD62" w14:textId="77777777" w:rsidR="006E49E3" w:rsidRPr="006E49E3" w:rsidRDefault="006E49E3" w:rsidP="006E49E3">
            <w:pPr>
              <w:pStyle w:val="ListParagraph"/>
              <w:numPr>
                <w:ilvl w:val="0"/>
                <w:numId w:val="49"/>
              </w:numPr>
              <w:rPr>
                <w:rFonts w:ascii="Calibri" w:hAnsi="Calibri" w:cs="Calibri"/>
              </w:rPr>
            </w:pPr>
            <w:r w:rsidRPr="006E49E3">
              <w:rPr>
                <w:rFonts w:ascii="Calibri" w:hAnsi="Calibri" w:cs="Calibri"/>
              </w:rPr>
              <w:t xml:space="preserve">Regulation 2021/1253 applies to investment firms that provide portfolio management or investment advice and are subject to MiFID II. </w:t>
            </w:r>
          </w:p>
          <w:p w14:paraId="6FE05180" w14:textId="77777777" w:rsidR="006E49E3" w:rsidRPr="006E49E3" w:rsidRDefault="006E49E3" w:rsidP="006E49E3">
            <w:pPr>
              <w:pStyle w:val="ListParagraph"/>
              <w:numPr>
                <w:ilvl w:val="0"/>
                <w:numId w:val="49"/>
              </w:numPr>
              <w:rPr>
                <w:rFonts w:ascii="Calibri" w:hAnsi="Calibri" w:cs="Calibri"/>
              </w:rPr>
            </w:pPr>
            <w:r w:rsidRPr="006E49E3">
              <w:rPr>
                <w:rFonts w:ascii="Calibri" w:hAnsi="Calibri" w:cs="Calibri"/>
              </w:rPr>
              <w:t xml:space="preserve">Regulation 2021/1255 applies to Alternative Investment Fund Managers (AIFMs) authorised under the AIFMD, meaning it targets firms managing alternative investment funds that are not UCITS. </w:t>
            </w:r>
          </w:p>
          <w:p w14:paraId="7B20926C" w14:textId="2B9E383D" w:rsidR="006E49E3" w:rsidRPr="006E49E3" w:rsidRDefault="006E49E3" w:rsidP="006E49E3">
            <w:pPr>
              <w:pStyle w:val="ListParagraph"/>
              <w:numPr>
                <w:ilvl w:val="0"/>
                <w:numId w:val="49"/>
              </w:numPr>
              <w:rPr>
                <w:rFonts w:ascii="Calibri" w:hAnsi="Calibri" w:cs="Calibri"/>
              </w:rPr>
            </w:pPr>
            <w:r w:rsidRPr="006E49E3">
              <w:rPr>
                <w:rFonts w:ascii="Calibri" w:hAnsi="Calibri" w:cs="Calibri"/>
              </w:rPr>
              <w:t xml:space="preserve">Regulation 2021/1257 applies to insurance and reinsurance undertakings governed by the Solvency II framework. </w:t>
            </w:r>
          </w:p>
          <w:p w14:paraId="052C8C35" w14:textId="7A21BB6F" w:rsidR="00DD292A" w:rsidRPr="00CF2E7C" w:rsidRDefault="006E49E3" w:rsidP="006E49E3">
            <w:pPr>
              <w:rPr>
                <w:rFonts w:ascii="Calibri" w:hAnsi="Calibri" w:cs="Calibri"/>
              </w:rPr>
            </w:pPr>
            <w:r w:rsidRPr="006E49E3">
              <w:rPr>
                <w:rFonts w:ascii="Calibri" w:hAnsi="Calibri" w:cs="Calibri"/>
              </w:rPr>
              <w:t>These regulations do not apply to banks, pension funds, or other financial actors not captured under MiFID II, AIFMD, or Solvency II. The scope of application is clearly defined in each regulation and is limited to the entities already subject to the respective underlying EU legal acts they amend</w:t>
            </w:r>
            <w:r>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347D1"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077778" w:rsidRDefault="00DD292A" w:rsidP="00CF2E7C">
            <w:pPr>
              <w:rPr>
                <w:rFonts w:ascii="Calibri" w:hAnsi="Calibri" w:cs="Calibri"/>
                <w:lang w:val="fr-FR"/>
              </w:rPr>
            </w:pPr>
            <w:r w:rsidRPr="00077778">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077778"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54FA34A9" w:rsidR="00DD292A" w:rsidRPr="00CF2E7C" w:rsidRDefault="00911460" w:rsidP="00CF2E7C">
            <w:pPr>
              <w:rPr>
                <w:rFonts w:ascii="Calibri" w:hAnsi="Calibri" w:cs="Calibri"/>
              </w:rPr>
            </w:pPr>
            <w:r w:rsidRPr="00911460">
              <w:rPr>
                <w:rFonts w:ascii="Calibri" w:hAnsi="Calibri" w:cs="Calibri"/>
              </w:rPr>
              <w:t>Compliance is mandatory for all entities already subject to MiFID II, AIFMD, or Solvency II, depending on the regulation. There are no size or activity thresholds</w:t>
            </w:r>
            <w:r w:rsidR="00373B74">
              <w:rPr>
                <w:rFonts w:ascii="Calibri" w:hAnsi="Calibri" w:cs="Calibri"/>
              </w:rPr>
              <w:t>;</w:t>
            </w:r>
            <w:r w:rsidRPr="00911460">
              <w:rPr>
                <w:rFonts w:ascii="Calibri" w:hAnsi="Calibri" w:cs="Calibri"/>
              </w:rPr>
              <w:t xml:space="preserve"> if an entity is within the scope of the underlying framework, the Delegated Regulation applies.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009B99E" w:rsidR="00DD292A" w:rsidRPr="00CF2E7C" w:rsidRDefault="00D056CE"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lastRenderedPageBreak/>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265EE51" w:rsidR="00DD3B33" w:rsidRPr="00CF2E7C" w:rsidRDefault="00514004"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09A79080" w:rsidR="00DD3B33" w:rsidRPr="00CF2E7C" w:rsidRDefault="00514004" w:rsidP="00CF2E7C">
            <w:pPr>
              <w:rPr>
                <w:rFonts w:ascii="Calibri" w:hAnsi="Calibri" w:cs="Calibri"/>
              </w:rPr>
            </w:pPr>
            <w:r w:rsidRPr="00514004">
              <w:rPr>
                <w:rFonts w:ascii="Calibri" w:hAnsi="Calibri" w:cs="Calibri"/>
              </w:rPr>
              <w:t>The Delegated Regulations themselves</w:t>
            </w:r>
            <w:r>
              <w:rPr>
                <w:rFonts w:ascii="Calibri" w:hAnsi="Calibri" w:cs="Calibri"/>
              </w:rPr>
              <w:t xml:space="preserve"> d</w:t>
            </w:r>
            <w:r w:rsidRPr="00514004">
              <w:rPr>
                <w:rFonts w:ascii="Calibri" w:hAnsi="Calibri" w:cs="Calibri"/>
              </w:rPr>
              <w:t>o not establish specific sanctions, as they are technical amendments to existing EU regulatory frameworks. However, non-compliance with these regulations constitutes a breach of the underlying legislation</w:t>
            </w:r>
            <w:r>
              <w:rPr>
                <w:rFonts w:ascii="Calibri" w:hAnsi="Calibri" w:cs="Calibri"/>
              </w:rPr>
              <w:t xml:space="preserve">, </w:t>
            </w:r>
            <w:r w:rsidRPr="00514004">
              <w:rPr>
                <w:rFonts w:ascii="Calibri" w:hAnsi="Calibri" w:cs="Calibri"/>
              </w:rPr>
              <w:t>namely, MiFID II, AIFMD, or Solvency I</w:t>
            </w:r>
            <w:r>
              <w:rPr>
                <w:rFonts w:ascii="Calibri" w:hAnsi="Calibri" w:cs="Calibri"/>
              </w:rPr>
              <w:t xml:space="preserve">I, </w:t>
            </w:r>
            <w:r w:rsidRPr="00514004">
              <w:rPr>
                <w:rFonts w:ascii="Calibri" w:hAnsi="Calibri" w:cs="Calibri"/>
              </w:rPr>
              <w:t>under which supervisory authorities have enforcement powers.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8F61EA2" w:rsidR="00DD292A" w:rsidRPr="00CF2E7C" w:rsidRDefault="00124C56"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42A1B21D" w:rsidR="00DD292A" w:rsidRPr="00CF2E7C" w:rsidRDefault="00124C56" w:rsidP="00CF2E7C">
            <w:pPr>
              <w:rPr>
                <w:rFonts w:ascii="Calibri" w:hAnsi="Calibri" w:cs="Calibri"/>
              </w:rPr>
            </w:pPr>
            <w:r w:rsidRPr="00124C56">
              <w:rPr>
                <w:rFonts w:ascii="Calibri" w:hAnsi="Calibri" w:cs="Calibri"/>
              </w:rPr>
              <w:t>To date, there is no publicly documented evidence of enforcement actions taken specifically in relation to the Delegated Regulations (EU) 2021/1253, 1255, or 1257.</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F29743C" w:rsidR="00DD292A" w:rsidRPr="00CF2E7C" w:rsidRDefault="00DD1FE5"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342711A2" w:rsidR="00DD292A" w:rsidRPr="00CF2E7C" w:rsidRDefault="00DD1FE5" w:rsidP="00CF2E7C">
            <w:pPr>
              <w:rPr>
                <w:rFonts w:ascii="Calibri" w:hAnsi="Calibri" w:cs="Calibri"/>
              </w:rPr>
            </w:pPr>
            <w:r w:rsidRPr="00DD1FE5">
              <w:rPr>
                <w:rFonts w:ascii="Calibri" w:hAnsi="Calibri" w:cs="Calibri"/>
              </w:rPr>
              <w:t>There is no known case law or litigation directly challenging or interpreting the Delegated Regulations (EU) 2021/1253, 1255, or 1257.</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3D36E70" w:rsidR="00410853" w:rsidRPr="00CF2E7C" w:rsidRDefault="00DE5D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1409408" w:rsidR="00F632FB" w:rsidRPr="00CF2E7C" w:rsidRDefault="00DE5D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57BCC7A" w:rsidR="00F632FB" w:rsidRPr="00CF2E7C" w:rsidRDefault="00DE5D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960286E" w:rsidR="008C4722" w:rsidRPr="00CF2E7C" w:rsidRDefault="00DE5D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DDE985" w14:textId="5D5697F7" w:rsidR="002049A4" w:rsidRPr="002049A4" w:rsidRDefault="002049A4" w:rsidP="002049A4">
            <w:pPr>
              <w:textAlignment w:val="baseline"/>
              <w:rPr>
                <w:rFonts w:ascii="Calibri" w:eastAsia="Times New Roman" w:hAnsi="Calibri" w:cs="Calibri"/>
                <w:kern w:val="0"/>
                <w:lang w:eastAsia="en-GB"/>
                <w14:ligatures w14:val="none"/>
              </w:rPr>
            </w:pPr>
            <w:r w:rsidRPr="002049A4">
              <w:rPr>
                <w:rFonts w:ascii="Calibri" w:eastAsia="Times New Roman" w:hAnsi="Calibri" w:cs="Calibri"/>
                <w:kern w:val="0"/>
                <w:lang w:eastAsia="en-GB"/>
                <w14:ligatures w14:val="none"/>
              </w:rPr>
              <w:t>The three Delegated Regulations</w:t>
            </w:r>
            <w:r>
              <w:rPr>
                <w:rFonts w:ascii="Calibri" w:eastAsia="Times New Roman" w:hAnsi="Calibri" w:cs="Calibri"/>
                <w:kern w:val="0"/>
                <w:lang w:eastAsia="en-GB"/>
                <w14:ligatures w14:val="none"/>
              </w:rPr>
              <w:t xml:space="preserve"> – </w:t>
            </w:r>
            <w:r w:rsidRPr="002049A4">
              <w:rPr>
                <w:rFonts w:ascii="Calibri" w:eastAsia="Times New Roman" w:hAnsi="Calibri" w:cs="Calibri"/>
                <w:kern w:val="0"/>
                <w:lang w:eastAsia="en-GB"/>
                <w14:ligatures w14:val="none"/>
              </w:rPr>
              <w:t>(EU) 2021/1253 (investment firms), 1255 (AIFMs), and 1257 (insurers)</w:t>
            </w:r>
            <w:r>
              <w:rPr>
                <w:rFonts w:ascii="Calibri" w:eastAsia="Times New Roman" w:hAnsi="Calibri" w:cs="Calibri"/>
                <w:kern w:val="0"/>
                <w:lang w:eastAsia="en-GB"/>
                <w14:ligatures w14:val="none"/>
              </w:rPr>
              <w:t xml:space="preserve"> </w:t>
            </w:r>
            <w:r w:rsidR="000613DF">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2049A4">
              <w:rPr>
                <w:rFonts w:ascii="Calibri" w:eastAsia="Times New Roman" w:hAnsi="Calibri" w:cs="Calibri"/>
                <w:kern w:val="0"/>
                <w:lang w:eastAsia="en-GB"/>
                <w14:ligatures w14:val="none"/>
              </w:rPr>
              <w:t xml:space="preserve">require regulated entities to integrate sustainability risks into their risk management frameworks and internal governance structures. While they do not specifically reference "climate physical" or "transition risks" by name, they define and apply the broader concept of sustainability risks as aligned with the </w:t>
            </w:r>
            <w:r>
              <w:rPr>
                <w:rFonts w:ascii="Calibri" w:eastAsia="Times New Roman" w:hAnsi="Calibri" w:cs="Calibri"/>
                <w:kern w:val="0"/>
                <w:lang w:eastAsia="en-GB"/>
                <w14:ligatures w14:val="none"/>
              </w:rPr>
              <w:t>SFDR</w:t>
            </w:r>
            <w:r w:rsidRPr="002049A4">
              <w:rPr>
                <w:rFonts w:ascii="Calibri" w:eastAsia="Times New Roman" w:hAnsi="Calibri" w:cs="Calibri"/>
                <w:kern w:val="0"/>
                <w:lang w:eastAsia="en-GB"/>
                <w14:ligatures w14:val="none"/>
              </w:rPr>
              <w:t xml:space="preserve"> (Regulation (EU) 2019/2088). According to SFDR, sustainability risks may encompass environmental, social, and governance events or conditions, including climate-related factors, which could negatively impact the financial performance of an investment.</w:t>
            </w:r>
          </w:p>
          <w:p w14:paraId="3E546C2F" w14:textId="77777777" w:rsidR="002049A4" w:rsidRPr="002049A4" w:rsidRDefault="002049A4" w:rsidP="002049A4">
            <w:pPr>
              <w:textAlignment w:val="baseline"/>
              <w:rPr>
                <w:rFonts w:ascii="Calibri" w:eastAsia="Times New Roman" w:hAnsi="Calibri" w:cs="Calibri"/>
                <w:kern w:val="0"/>
                <w:lang w:eastAsia="en-GB"/>
                <w14:ligatures w14:val="none"/>
              </w:rPr>
            </w:pPr>
            <w:r w:rsidRPr="002049A4">
              <w:rPr>
                <w:rFonts w:ascii="Calibri" w:eastAsia="Times New Roman" w:hAnsi="Calibri" w:cs="Calibri"/>
                <w:kern w:val="0"/>
                <w:lang w:eastAsia="en-GB"/>
                <w14:ligatures w14:val="none"/>
              </w:rPr>
              <w:t>For instance, Article 3(1) of Delegated Regulation (EU) 2021/1253 inserts provisions into Article 21 of Regulation 2017/565 requiring investment firms to consider sustainability risks when establishing, implementing, and maintaining risk management policies. Similarly, Article 2(5) of Delegated Regulation (EU) 2021/1255 amends Article 30 of AIFMR (Regulation 231/2013) to ensure that AIFMs consider sustainability risks in their due diligence and risk assessments. Article 2(2) of Delegated Regulation (EU) 2021/1257 likewise updates Article 269 of Delegated Regulation 2015/35 (Solvency II) to require insurers and reinsurers to account for sustainability risks in their investment and underwriting activities.</w:t>
            </w:r>
          </w:p>
          <w:p w14:paraId="39FC6AFA" w14:textId="512C99A2" w:rsidR="008C4722" w:rsidRPr="00CF2E7C" w:rsidRDefault="002049A4" w:rsidP="002049A4">
            <w:pPr>
              <w:textAlignment w:val="baseline"/>
              <w:rPr>
                <w:rFonts w:ascii="Calibri" w:eastAsia="Times New Roman" w:hAnsi="Calibri" w:cs="Calibri"/>
                <w:kern w:val="0"/>
                <w:lang w:eastAsia="en-GB"/>
                <w14:ligatures w14:val="none"/>
              </w:rPr>
            </w:pPr>
            <w:r w:rsidRPr="002049A4">
              <w:rPr>
                <w:rFonts w:ascii="Calibri" w:eastAsia="Times New Roman" w:hAnsi="Calibri" w:cs="Calibri"/>
                <w:kern w:val="0"/>
                <w:lang w:eastAsia="en-GB"/>
                <w14:ligatures w14:val="none"/>
              </w:rPr>
              <w:t>These amendments focus on risk identification and assessment rather than prescribing mitigation strategies, scenario analysis, or capital treatment. As such, the objective of the policy tools is to embed ESG risk awareness and analysis into decision-making</w:t>
            </w:r>
            <w:r w:rsidR="00BC422B">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19E6E44" w:rsidR="008C4722" w:rsidRPr="00CF2E7C" w:rsidRDefault="006C71E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891336C" w:rsidR="007B7DEE" w:rsidRPr="00CF2E7C" w:rsidRDefault="005C237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E880B20" w:rsidR="00ED7E12" w:rsidRPr="00CF2E7C" w:rsidRDefault="008100C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D359EEA" w:rsidR="00ED7E12" w:rsidRPr="00CF2E7C" w:rsidRDefault="008100C1" w:rsidP="008100C1">
            <w:pPr>
              <w:textAlignment w:val="baseline"/>
              <w:rPr>
                <w:rFonts w:ascii="Calibri" w:eastAsia="Times New Roman" w:hAnsi="Calibri" w:cs="Calibri"/>
                <w:kern w:val="0"/>
                <w:lang w:eastAsia="en-GB"/>
                <w14:ligatures w14:val="none"/>
              </w:rPr>
            </w:pPr>
            <w:r w:rsidRPr="008100C1">
              <w:rPr>
                <w:rFonts w:ascii="Calibri" w:eastAsia="Times New Roman" w:hAnsi="Calibri" w:cs="Calibri"/>
                <w:kern w:val="0"/>
                <w:lang w:eastAsia="en-GB"/>
                <w14:ligatures w14:val="none"/>
              </w:rPr>
              <w:t>The Delegated Regulations themselves do not establish new compliance monitoring mechanisms. However, compliance is ensured through existing supervisory frameworks embedded in MiFID II, AIFMD, and Solvency II, depending on the sector. Each of these frameworks designates national competent authorities as responsible for oversight and enforcement</w:t>
            </w:r>
            <w:r>
              <w:rPr>
                <w:rFonts w:ascii="Calibri" w:eastAsia="Times New Roman" w:hAnsi="Calibri" w:cs="Calibri"/>
                <w:kern w:val="0"/>
                <w:lang w:eastAsia="en-GB"/>
                <w14:ligatures w14:val="none"/>
              </w:rPr>
              <w:t xml:space="preserve">. </w:t>
            </w:r>
            <w:r w:rsidRPr="008100C1">
              <w:rPr>
                <w:rFonts w:ascii="Calibri" w:eastAsia="Times New Roman" w:hAnsi="Calibri" w:cs="Calibri"/>
                <w:kern w:val="0"/>
                <w:lang w:eastAsia="en-GB"/>
                <w14:ligatures w14:val="none"/>
              </w:rPr>
              <w:t>Therefore, regulatory oversight by financial supervisors is the primary mechanism for verifying compliance with the obligations introduced by these Delegated Regulations. There is no reference to self-reporting, third-party verification, or automated monitoring systems in the regulations themselves.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491287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6F2506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422B">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24E538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0DDE673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64C252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348A971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F4C49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8299F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FD84C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370EAD1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C422B">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07F555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007E">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C94A1FD" w14:textId="40BCD220" w:rsidR="00C25A72" w:rsidRPr="00C25A72" w:rsidRDefault="00C25A72" w:rsidP="00C25A72">
            <w:pPr>
              <w:textAlignment w:val="baseline"/>
              <w:rPr>
                <w:rFonts w:ascii="Calibri" w:eastAsia="Times New Roman" w:hAnsi="Calibri" w:cs="Calibri"/>
                <w:kern w:val="0"/>
                <w:lang w:eastAsia="en-GB"/>
                <w14:ligatures w14:val="none"/>
              </w:rPr>
            </w:pPr>
            <w:r w:rsidRPr="00C25A72">
              <w:rPr>
                <w:rFonts w:ascii="Calibri" w:eastAsia="Times New Roman" w:hAnsi="Calibri" w:cs="Calibri"/>
                <w:kern w:val="0"/>
                <w:lang w:eastAsia="en-GB"/>
                <w14:ligatures w14:val="none"/>
              </w:rPr>
              <w:t>The Delegated Regulations (EU) 2021/1253, 1255, and 1257 require the integration of sustainability risks, including climate-related risks, into the internal risk management and governance systems of regulated entities. While the term "climate-related risks" is not always used explicitly, these risks are included under the broader definition of "sustainability risks" as adopted from the S</w:t>
            </w:r>
            <w:r>
              <w:rPr>
                <w:rFonts w:ascii="Calibri" w:eastAsia="Times New Roman" w:hAnsi="Calibri" w:cs="Calibri"/>
                <w:kern w:val="0"/>
                <w:lang w:eastAsia="en-GB"/>
                <w14:ligatures w14:val="none"/>
              </w:rPr>
              <w:t xml:space="preserve">FDR, </w:t>
            </w:r>
            <w:r w:rsidRPr="00C25A72">
              <w:rPr>
                <w:rFonts w:ascii="Calibri" w:eastAsia="Times New Roman" w:hAnsi="Calibri" w:cs="Calibri"/>
                <w:kern w:val="0"/>
                <w:lang w:eastAsia="en-GB"/>
                <w14:ligatures w14:val="none"/>
              </w:rPr>
              <w:t>i.e. environmental, social or governance events or conditions that could cause an actual or potential material negative impact on the value of an investment.</w:t>
            </w:r>
          </w:p>
          <w:p w14:paraId="72242003" w14:textId="52CDCE90" w:rsidR="00C25A72" w:rsidRDefault="00C25A72" w:rsidP="00C25A72">
            <w:pPr>
              <w:textAlignment w:val="baseline"/>
              <w:rPr>
                <w:rFonts w:ascii="Calibri" w:eastAsia="Times New Roman" w:hAnsi="Calibri" w:cs="Calibri"/>
                <w:kern w:val="0"/>
                <w:lang w:eastAsia="en-GB"/>
                <w14:ligatures w14:val="none"/>
              </w:rPr>
            </w:pPr>
            <w:r w:rsidRPr="00C25A72">
              <w:rPr>
                <w:rFonts w:ascii="Calibri" w:eastAsia="Times New Roman" w:hAnsi="Calibri" w:cs="Calibri"/>
                <w:kern w:val="0"/>
                <w:lang w:eastAsia="en-GB"/>
                <w14:ligatures w14:val="none"/>
              </w:rPr>
              <w:t xml:space="preserve">Across all three regulations, there is </w:t>
            </w:r>
            <w:r>
              <w:rPr>
                <w:rFonts w:ascii="Calibri" w:eastAsia="Times New Roman" w:hAnsi="Calibri" w:cs="Calibri"/>
                <w:kern w:val="0"/>
                <w:lang w:eastAsia="en-GB"/>
                <w14:ligatures w14:val="none"/>
              </w:rPr>
              <w:t xml:space="preserve">an </w:t>
            </w:r>
            <w:r w:rsidRPr="00C25A72">
              <w:rPr>
                <w:rFonts w:ascii="Calibri" w:eastAsia="Times New Roman" w:hAnsi="Calibri" w:cs="Calibri"/>
                <w:kern w:val="0"/>
                <w:lang w:eastAsia="en-GB"/>
                <w14:ligatures w14:val="none"/>
              </w:rPr>
              <w:t xml:space="preserve">obligation to </w:t>
            </w:r>
            <w:r w:rsidR="00BC422B">
              <w:rPr>
                <w:rFonts w:ascii="Calibri" w:eastAsia="Times New Roman" w:hAnsi="Calibri" w:cs="Calibri"/>
                <w:kern w:val="0"/>
                <w:lang w:eastAsia="en-GB"/>
                <w14:ligatures w14:val="none"/>
              </w:rPr>
              <w:t>integrate</w:t>
            </w:r>
            <w:r w:rsidRPr="00C25A72">
              <w:rPr>
                <w:rFonts w:ascii="Calibri" w:eastAsia="Times New Roman" w:hAnsi="Calibri" w:cs="Calibri"/>
                <w:kern w:val="0"/>
                <w:lang w:eastAsia="en-GB"/>
                <w14:ligatures w14:val="none"/>
              </w:rPr>
              <w:t xml:space="preserve"> sustainability risk </w:t>
            </w:r>
            <w:r w:rsidR="00BC422B">
              <w:rPr>
                <w:rFonts w:ascii="Calibri" w:eastAsia="Times New Roman" w:hAnsi="Calibri" w:cs="Calibri"/>
                <w:kern w:val="0"/>
                <w:lang w:eastAsia="en-GB"/>
                <w14:ligatures w14:val="none"/>
              </w:rPr>
              <w:t>in risk management and governance</w:t>
            </w:r>
            <w:r w:rsidRPr="00C25A72">
              <w:rPr>
                <w:rFonts w:ascii="Calibri" w:eastAsia="Times New Roman" w:hAnsi="Calibri" w:cs="Calibri"/>
                <w:kern w:val="0"/>
                <w:lang w:eastAsia="en-GB"/>
                <w14:ligatures w14:val="none"/>
              </w:rPr>
              <w:t>. For instance:</w:t>
            </w:r>
          </w:p>
          <w:p w14:paraId="09C9B1A3" w14:textId="77777777" w:rsidR="00A9650F" w:rsidRPr="00A9650F" w:rsidRDefault="00A9650F" w:rsidP="00A9650F">
            <w:pPr>
              <w:textAlignment w:val="baseline"/>
              <w:rPr>
                <w:rFonts w:ascii="Calibri" w:eastAsia="Times New Roman" w:hAnsi="Calibri" w:cs="Calibri"/>
                <w:i/>
                <w:iCs/>
                <w:kern w:val="0"/>
                <w:lang w:eastAsia="en-GB"/>
                <w14:ligatures w14:val="none"/>
              </w:rPr>
            </w:pPr>
            <w:r w:rsidRPr="00A9650F">
              <w:rPr>
                <w:rFonts w:ascii="Calibri" w:eastAsia="Times New Roman" w:hAnsi="Calibri" w:cs="Calibri"/>
                <w:i/>
                <w:iCs/>
                <w:kern w:val="0"/>
                <w:lang w:eastAsia="en-GB"/>
                <w14:ligatures w14:val="none"/>
              </w:rPr>
              <w:t>Delegated Regulation (EU) 2021/1253 (Investment Firms)</w:t>
            </w:r>
          </w:p>
          <w:p w14:paraId="19B078A3" w14:textId="77777777" w:rsidR="00A9650F" w:rsidRPr="00A9650F" w:rsidRDefault="00A9650F" w:rsidP="00A9650F">
            <w:pPr>
              <w:pStyle w:val="ListParagraph"/>
              <w:numPr>
                <w:ilvl w:val="0"/>
                <w:numId w:val="54"/>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 xml:space="preserve">Article 21: This article requires investment firms to take into account sustainability risks when complying with organizational requirements. It emphasizes the need for firms to </w:t>
            </w:r>
            <w:r w:rsidRPr="00A9650F">
              <w:rPr>
                <w:rFonts w:ascii="Calibri" w:eastAsia="Times New Roman" w:hAnsi="Calibri" w:cs="Calibri"/>
                <w:kern w:val="0"/>
                <w:lang w:eastAsia="en-GB"/>
                <w14:ligatures w14:val="none"/>
              </w:rPr>
              <w:lastRenderedPageBreak/>
              <w:t>consider the nature, scale, and complexity of their business operations in relation to sustainability risks.</w:t>
            </w:r>
          </w:p>
          <w:p w14:paraId="2210B516" w14:textId="77777777" w:rsidR="00A9650F" w:rsidRPr="00A9650F" w:rsidRDefault="00A9650F" w:rsidP="00A9650F">
            <w:pPr>
              <w:pStyle w:val="ListParagraph"/>
              <w:numPr>
                <w:ilvl w:val="0"/>
                <w:numId w:val="54"/>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23: Mandates investment firms to establish and maintain adequate risk management policies and procedures that identify risks related to the firm's activities, including sustainability risks.</w:t>
            </w:r>
          </w:p>
          <w:p w14:paraId="75FFDA34" w14:textId="77777777" w:rsidR="00A9650F" w:rsidRPr="00A9650F" w:rsidRDefault="00A9650F" w:rsidP="00A9650F">
            <w:pPr>
              <w:pStyle w:val="ListParagraph"/>
              <w:numPr>
                <w:ilvl w:val="0"/>
                <w:numId w:val="54"/>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33: Addresses conflicts of interest, requiring investment firms to consider sustainability preferences when identifying potential conflicts that could harm client interests.</w:t>
            </w:r>
          </w:p>
          <w:p w14:paraId="7362F0D7" w14:textId="421CFAC5" w:rsidR="00A9650F" w:rsidRPr="00A9650F" w:rsidRDefault="00A9650F" w:rsidP="00A9650F">
            <w:pPr>
              <w:textAlignment w:val="baseline"/>
              <w:rPr>
                <w:rFonts w:ascii="Calibri" w:eastAsia="Times New Roman" w:hAnsi="Calibri" w:cs="Calibri"/>
                <w:i/>
                <w:iCs/>
                <w:kern w:val="0"/>
                <w:lang w:eastAsia="en-GB"/>
                <w14:ligatures w14:val="none"/>
              </w:rPr>
            </w:pPr>
            <w:r w:rsidRPr="00A9650F">
              <w:rPr>
                <w:rFonts w:ascii="Calibri" w:eastAsia="Times New Roman" w:hAnsi="Calibri" w:cs="Calibri"/>
                <w:i/>
                <w:iCs/>
                <w:kern w:val="0"/>
                <w:lang w:eastAsia="en-GB"/>
                <w14:ligatures w14:val="none"/>
              </w:rPr>
              <w:t xml:space="preserve">Delegated Regulation (EU) 2021/1255 </w:t>
            </w:r>
            <w:r w:rsidR="00A21CCF">
              <w:rPr>
                <w:rFonts w:ascii="Calibri" w:eastAsia="Times New Roman" w:hAnsi="Calibri" w:cs="Calibri"/>
                <w:i/>
                <w:iCs/>
                <w:kern w:val="0"/>
                <w:lang w:eastAsia="en-GB"/>
                <w14:ligatures w14:val="none"/>
              </w:rPr>
              <w:t>(</w:t>
            </w:r>
            <w:r w:rsidRPr="00A9650F">
              <w:rPr>
                <w:rFonts w:ascii="Calibri" w:eastAsia="Times New Roman" w:hAnsi="Calibri" w:cs="Calibri"/>
                <w:i/>
                <w:iCs/>
                <w:kern w:val="0"/>
                <w:lang w:eastAsia="en-GB"/>
                <w14:ligatures w14:val="none"/>
              </w:rPr>
              <w:t>AIFMs)</w:t>
            </w:r>
          </w:p>
          <w:p w14:paraId="35BE5893" w14:textId="77777777" w:rsidR="00A9650F" w:rsidRPr="00A9650F" w:rsidRDefault="00A9650F" w:rsidP="00A9650F">
            <w:pPr>
              <w:pStyle w:val="ListParagraph"/>
              <w:numPr>
                <w:ilvl w:val="0"/>
                <w:numId w:val="55"/>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18: Requires AIFMs to integrate sustainability risks into their risk management processes. It specifies that AIFMs should consider principal adverse impacts of investment decisions on sustainability factors.</w:t>
            </w:r>
          </w:p>
          <w:p w14:paraId="6258CB9A" w14:textId="77777777" w:rsidR="00A9650F" w:rsidRPr="00A9650F" w:rsidRDefault="00A9650F" w:rsidP="00A9650F">
            <w:pPr>
              <w:pStyle w:val="ListParagraph"/>
              <w:numPr>
                <w:ilvl w:val="0"/>
                <w:numId w:val="55"/>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22: Stipulates that AIFMs must retain necessary resources and expertise for effective integration of sustainability risks.</w:t>
            </w:r>
          </w:p>
          <w:p w14:paraId="0387C8BD" w14:textId="77777777" w:rsidR="00A9650F" w:rsidRPr="00A9650F" w:rsidRDefault="00A9650F" w:rsidP="00A9650F">
            <w:pPr>
              <w:pStyle w:val="ListParagraph"/>
              <w:numPr>
                <w:ilvl w:val="0"/>
                <w:numId w:val="55"/>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30: Focuses on conflicts of interest, requiring AIFMs to include conflicts arising from the integration of sustainability risks in their processes and controls.</w:t>
            </w:r>
          </w:p>
          <w:p w14:paraId="0B2C9C75" w14:textId="77777777" w:rsidR="00A9650F" w:rsidRPr="00A9650F" w:rsidRDefault="00A9650F" w:rsidP="00A9650F">
            <w:pPr>
              <w:textAlignment w:val="baseline"/>
              <w:rPr>
                <w:rFonts w:ascii="Calibri" w:eastAsia="Times New Roman" w:hAnsi="Calibri" w:cs="Calibri"/>
                <w:i/>
                <w:iCs/>
                <w:kern w:val="0"/>
                <w:lang w:eastAsia="en-GB"/>
                <w14:ligatures w14:val="none"/>
              </w:rPr>
            </w:pPr>
            <w:r w:rsidRPr="00A9650F">
              <w:rPr>
                <w:rFonts w:ascii="Calibri" w:eastAsia="Times New Roman" w:hAnsi="Calibri" w:cs="Calibri"/>
                <w:i/>
                <w:iCs/>
                <w:kern w:val="0"/>
                <w:lang w:eastAsia="en-GB"/>
                <w14:ligatures w14:val="none"/>
              </w:rPr>
              <w:t>Delegated Regulation (EU) 2021/1257 (Insurance Undertakings and Distributors)</w:t>
            </w:r>
          </w:p>
          <w:p w14:paraId="497AE4E8" w14:textId="77777777" w:rsidR="00A9650F" w:rsidRPr="00A9650F" w:rsidRDefault="00A9650F" w:rsidP="00A9650F">
            <w:pPr>
              <w:pStyle w:val="ListParagraph"/>
              <w:numPr>
                <w:ilvl w:val="0"/>
                <w:numId w:val="56"/>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4(3) and Article 5: These articles require insurance undertakings and intermediaries to consider sustainability-related objectives in their product governance processes, including identifying target markets and ensuring compatibility with customer needs.</w:t>
            </w:r>
          </w:p>
          <w:p w14:paraId="0AAC7F29" w14:textId="77777777" w:rsidR="00A9650F" w:rsidRPr="00A9650F" w:rsidRDefault="00A9650F" w:rsidP="00A9650F">
            <w:pPr>
              <w:pStyle w:val="ListParagraph"/>
              <w:numPr>
                <w:ilvl w:val="0"/>
                <w:numId w:val="56"/>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7: Mandates continuous monitoring and review of insurance products to ensure they remain consistent with the sustainability-related objectives of the target market.</w:t>
            </w:r>
          </w:p>
          <w:p w14:paraId="21160496" w14:textId="16970A6F" w:rsidR="00A9650F" w:rsidRPr="00A9650F" w:rsidRDefault="00A9650F" w:rsidP="00A9650F">
            <w:pPr>
              <w:pStyle w:val="ListParagraph"/>
              <w:numPr>
                <w:ilvl w:val="0"/>
                <w:numId w:val="56"/>
              </w:numPr>
              <w:textAlignment w:val="baseline"/>
              <w:rPr>
                <w:rFonts w:ascii="Calibri" w:eastAsia="Times New Roman" w:hAnsi="Calibri" w:cs="Calibri"/>
                <w:kern w:val="0"/>
                <w:lang w:eastAsia="en-GB"/>
                <w14:ligatures w14:val="none"/>
              </w:rPr>
            </w:pPr>
            <w:r w:rsidRPr="00A9650F">
              <w:rPr>
                <w:rFonts w:ascii="Calibri" w:eastAsia="Times New Roman" w:hAnsi="Calibri" w:cs="Calibri"/>
                <w:kern w:val="0"/>
                <w:lang w:eastAsia="en-GB"/>
                <w14:ligatures w14:val="none"/>
              </w:rPr>
              <w:t>Article 9: Requires insurance intermediaries and undertakings to ensure that investment advice reflects both financial objectives and sustainability preferences of customer</w:t>
            </w:r>
          </w:p>
          <w:p w14:paraId="27E9CD14" w14:textId="33BD4996" w:rsidR="00A80131" w:rsidRPr="00CF2E7C" w:rsidRDefault="00C25A72" w:rsidP="00C25A72">
            <w:pPr>
              <w:textAlignment w:val="baseline"/>
              <w:rPr>
                <w:rFonts w:ascii="Calibri" w:eastAsia="Times New Roman" w:hAnsi="Calibri" w:cs="Calibri"/>
                <w:kern w:val="0"/>
                <w:lang w:eastAsia="en-GB"/>
                <w14:ligatures w14:val="none"/>
              </w:rPr>
            </w:pPr>
            <w:r w:rsidRPr="00C25A72">
              <w:rPr>
                <w:rFonts w:ascii="Calibri" w:eastAsia="Times New Roman" w:hAnsi="Calibri" w:cs="Calibri"/>
                <w:kern w:val="0"/>
                <w:lang w:eastAsia="en-GB"/>
                <w14:ligatures w14:val="none"/>
              </w:rPr>
              <w:t xml:space="preserve">Furthermore, all three regulations require entities to consider the short- and long-term potential impacts of sustainability risks on their operations and profitability, aligning with risk assessment principles.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E95766C" w:rsidR="00C82860" w:rsidRPr="00CF2E7C" w:rsidRDefault="008F482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2C16BA0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E00B46D" w:rsidR="00C82860" w:rsidRPr="00CF2E7C" w:rsidRDefault="007D5C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7D5CF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464A3A5" w14:textId="1734468B" w:rsidR="00C82860" w:rsidRPr="00CF2E7C" w:rsidRDefault="00C82860" w:rsidP="001C1838">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457D7382" w:rsidR="00C82860" w:rsidRPr="00CF2E7C" w:rsidRDefault="00FD3BE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8C5201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3BE4">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D6DC2D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3BE4">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6D9795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3BE4">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500FFAE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3BE4">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8E4BB12" w:rsidR="00C82860" w:rsidRPr="00CF2E7C" w:rsidRDefault="00FD3BE4" w:rsidP="00CF2E7C">
            <w:pPr>
              <w:textAlignment w:val="baseline"/>
              <w:rPr>
                <w:rFonts w:ascii="Calibri" w:eastAsia="Times New Roman" w:hAnsi="Calibri" w:cs="Calibri"/>
                <w:kern w:val="0"/>
                <w:lang w:eastAsia="en-GB"/>
                <w14:ligatures w14:val="none"/>
              </w:rPr>
            </w:pPr>
            <w:r w:rsidRPr="00FD3BE4">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Delegated Regulations</w:t>
            </w:r>
            <w:r w:rsidRPr="00FD3BE4">
              <w:rPr>
                <w:rFonts w:ascii="Calibri" w:eastAsia="Times New Roman" w:hAnsi="Calibri" w:cs="Calibri"/>
                <w:kern w:val="0"/>
                <w:lang w:eastAsia="en-GB"/>
                <w14:ligatures w14:val="none"/>
              </w:rPr>
              <w:t xml:space="preserve"> primarily discuss the integration of sustainability factors and risks into organizational requirements, operating conditions, and product governance. They emphasize the need for investment firms, AIFMs, and insurance undertakings to consider sustainability risks and factors in their processes, systems, and controls</w:t>
            </w:r>
            <w:r w:rsidR="00AB3284">
              <w:rPr>
                <w:rFonts w:ascii="Calibri" w:eastAsia="Times New Roman" w:hAnsi="Calibri" w:cs="Calibri"/>
                <w:kern w:val="0"/>
                <w:lang w:eastAsia="en-GB"/>
                <w14:ligatures w14:val="none"/>
              </w:rPr>
              <w:t>. T</w:t>
            </w:r>
            <w:r w:rsidRPr="00FD3BE4">
              <w:rPr>
                <w:rFonts w:ascii="Calibri" w:eastAsia="Times New Roman" w:hAnsi="Calibri" w:cs="Calibri"/>
                <w:kern w:val="0"/>
                <w:lang w:eastAsia="en-GB"/>
                <w14:ligatures w14:val="none"/>
              </w:rPr>
              <w:t>hey do not provide detailed guidance or requirements for using specific metrics to monitor and assess portfolio exposures related to climate physical or transition risks.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3DD59F" w14:textId="77777777" w:rsidR="000347D1" w:rsidRDefault="004C2AA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w:t>
            </w:r>
            <w:r w:rsidRPr="004C2AA8">
              <w:rPr>
                <w:rFonts w:eastAsia="Times New Roman" w:cstheme="minorHAnsi"/>
                <w:kern w:val="0"/>
                <w:lang w:eastAsia="en-GB"/>
                <w14:ligatures w14:val="none"/>
              </w:rPr>
              <w:t xml:space="preserve">mplementing </w:t>
            </w:r>
            <w:r>
              <w:rPr>
                <w:rFonts w:eastAsia="Times New Roman" w:cstheme="minorHAnsi"/>
                <w:kern w:val="0"/>
                <w:lang w:eastAsia="en-GB"/>
                <w14:ligatures w14:val="none"/>
              </w:rPr>
              <w:t>the Delegated Regulations</w:t>
            </w:r>
            <w:r w:rsidRPr="004C2AA8">
              <w:rPr>
                <w:rFonts w:eastAsia="Times New Roman" w:cstheme="minorHAnsi"/>
                <w:kern w:val="0"/>
                <w:lang w:eastAsia="en-GB"/>
                <w14:ligatures w14:val="none"/>
              </w:rPr>
              <w:t xml:space="preserve"> for climate-related financial risk management presents several challenges.</w:t>
            </w:r>
          </w:p>
          <w:p w14:paraId="4559A471" w14:textId="56E7860A" w:rsidR="000347D1" w:rsidRDefault="004C2AA8" w:rsidP="00CF2E7C">
            <w:pPr>
              <w:textAlignment w:val="baseline"/>
              <w:rPr>
                <w:rFonts w:eastAsia="Times New Roman" w:cstheme="minorHAnsi"/>
                <w:kern w:val="0"/>
                <w:lang w:eastAsia="en-GB"/>
                <w14:ligatures w14:val="none"/>
              </w:rPr>
            </w:pPr>
            <w:r w:rsidRPr="004C2AA8">
              <w:rPr>
                <w:rFonts w:eastAsia="Times New Roman" w:cstheme="minorHAnsi"/>
                <w:kern w:val="0"/>
                <w:lang w:eastAsia="en-GB"/>
                <w14:ligatures w14:val="none"/>
              </w:rPr>
              <w:t>One major barrier is the availability and quality of data needed to assess climate risks accurately. The complexity of climate-related risks, which include both physical and transition risks, requires sophisticated models and expertise that may not be readily available. Entities may also struggle to integrate these risks into existing frameworks, which may not be designed to accommodate such considerations.</w:t>
            </w:r>
          </w:p>
          <w:p w14:paraId="718D87F5" w14:textId="0B0E0BBF" w:rsidR="00702413" w:rsidRPr="009C4D10" w:rsidRDefault="004C2AA8" w:rsidP="00CF2E7C">
            <w:pPr>
              <w:textAlignment w:val="baseline"/>
              <w:rPr>
                <w:rFonts w:eastAsia="Times New Roman" w:cstheme="minorHAnsi"/>
                <w:kern w:val="0"/>
                <w:lang w:eastAsia="en-GB"/>
                <w14:ligatures w14:val="none"/>
              </w:rPr>
            </w:pPr>
            <w:r w:rsidRPr="004C2AA8">
              <w:rPr>
                <w:rFonts w:eastAsia="Times New Roman" w:cstheme="minorHAnsi"/>
                <w:kern w:val="0"/>
                <w:lang w:eastAsia="en-GB"/>
                <w14:ligatures w14:val="none"/>
              </w:rPr>
              <w:t>Regulatory uncertainty and evolving compliance requirements further complicate implementation efforts. Additionally, smaller entities may face resource constraints, lacking the necessary expertise and tools to effectively manage sustainability risks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0346DCA"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664DA9E"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F3DF3"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7380A71"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F3DF3"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0DA099D"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67AF94CA"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55EBF188" w:rsidR="00FE0EA5" w:rsidRPr="009C4D10" w:rsidRDefault="00FE0EA5" w:rsidP="00CF2E7C">
            <w:pPr>
              <w:rPr>
                <w:rFonts w:cstheme="minorHAnsi"/>
              </w:rPr>
            </w:pPr>
            <w:r w:rsidRPr="009C4D10">
              <w:rPr>
                <w:rFonts w:cstheme="minorHAnsi"/>
              </w:rPr>
              <w:t>  </w:t>
            </w:r>
            <w:r w:rsidR="0032003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79DDAAD" w:rsidR="00FE0EA5" w:rsidRPr="009C4D10" w:rsidRDefault="00FE0EA5" w:rsidP="00CF2E7C">
            <w:pPr>
              <w:rPr>
                <w:rFonts w:cstheme="minorHAnsi"/>
              </w:rPr>
            </w:pPr>
            <w:r w:rsidRPr="009C4D10">
              <w:rPr>
                <w:rFonts w:cstheme="minorHAnsi"/>
                <w:lang w:val="en-SG"/>
              </w:rPr>
              <w:t> </w:t>
            </w:r>
            <w:r w:rsidRPr="009C4D10">
              <w:rPr>
                <w:rFonts w:cstheme="minorHAnsi"/>
              </w:rPr>
              <w:t> </w:t>
            </w:r>
            <w:r w:rsidR="0032003A">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347D1"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077778" w:rsidRDefault="002F0752" w:rsidP="00CF2E7C">
            <w:pPr>
              <w:rPr>
                <w:rFonts w:ascii="Calibri" w:hAnsi="Calibri" w:cs="Calibri"/>
                <w:lang w:val="fr-FR"/>
              </w:rPr>
            </w:pPr>
            <w:r w:rsidRPr="00077778">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077778"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8A514" w14:textId="77777777" w:rsidR="00D0158C" w:rsidRDefault="00D0158C" w:rsidP="00874E39">
      <w:r>
        <w:separator/>
      </w:r>
    </w:p>
  </w:endnote>
  <w:endnote w:type="continuationSeparator" w:id="0">
    <w:p w14:paraId="33730992" w14:textId="77777777" w:rsidR="00D0158C" w:rsidRDefault="00D0158C" w:rsidP="00874E39">
      <w:r>
        <w:continuationSeparator/>
      </w:r>
    </w:p>
  </w:endnote>
  <w:endnote w:type="continuationNotice" w:id="1">
    <w:p w14:paraId="24BBD650" w14:textId="77777777" w:rsidR="00D0158C" w:rsidRDefault="00D015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53F6C5" w14:textId="77777777" w:rsidR="00D0158C" w:rsidRDefault="00D0158C" w:rsidP="00874E39">
      <w:r>
        <w:separator/>
      </w:r>
    </w:p>
  </w:footnote>
  <w:footnote w:type="continuationSeparator" w:id="0">
    <w:p w14:paraId="722AFBB4" w14:textId="77777777" w:rsidR="00D0158C" w:rsidRDefault="00D0158C" w:rsidP="00874E39">
      <w:r>
        <w:continuationSeparator/>
      </w:r>
    </w:p>
  </w:footnote>
  <w:footnote w:type="continuationNotice" w:id="1">
    <w:p w14:paraId="07D8ED25" w14:textId="77777777" w:rsidR="00D0158C" w:rsidRDefault="00D015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522038"/>
    <w:multiLevelType w:val="hybridMultilevel"/>
    <w:tmpl w:val="7F52CA0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8281202"/>
    <w:multiLevelType w:val="hybridMultilevel"/>
    <w:tmpl w:val="205267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6"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1FBF2CCB"/>
    <w:multiLevelType w:val="hybridMultilevel"/>
    <w:tmpl w:val="2A463C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A04E56"/>
    <w:multiLevelType w:val="hybridMultilevel"/>
    <w:tmpl w:val="DD489A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4E1182"/>
    <w:multiLevelType w:val="hybridMultilevel"/>
    <w:tmpl w:val="A4F6DEF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9924C7"/>
    <w:multiLevelType w:val="hybridMultilevel"/>
    <w:tmpl w:val="5916FAD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7" w15:restartNumberingAfterBreak="0">
    <w:nsid w:val="3BA311A0"/>
    <w:multiLevelType w:val="hybridMultilevel"/>
    <w:tmpl w:val="BD88883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9"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0"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1"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3"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4"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5"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6"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7"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8"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9"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0"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1"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2"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5" w15:restartNumberingAfterBreak="0">
    <w:nsid w:val="538B3A06"/>
    <w:multiLevelType w:val="hybridMultilevel"/>
    <w:tmpl w:val="67F806A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9"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30"/>
  </w:num>
  <w:num w:numId="3" w16cid:durableId="690952733">
    <w:abstractNumId w:val="49"/>
  </w:num>
  <w:num w:numId="4" w16cid:durableId="1689330127">
    <w:abstractNumId w:val="2"/>
  </w:num>
  <w:num w:numId="5" w16cid:durableId="401291788">
    <w:abstractNumId w:val="35"/>
  </w:num>
  <w:num w:numId="6" w16cid:durableId="1276788690">
    <w:abstractNumId w:val="16"/>
  </w:num>
  <w:num w:numId="7" w16cid:durableId="566767730">
    <w:abstractNumId w:val="25"/>
  </w:num>
  <w:num w:numId="8" w16cid:durableId="1780710843">
    <w:abstractNumId w:val="41"/>
  </w:num>
  <w:num w:numId="9" w16cid:durableId="1685783054">
    <w:abstractNumId w:val="5"/>
  </w:num>
  <w:num w:numId="10" w16cid:durableId="950551298">
    <w:abstractNumId w:val="38"/>
  </w:num>
  <w:num w:numId="11" w16cid:durableId="1591960799">
    <w:abstractNumId w:val="55"/>
  </w:num>
  <w:num w:numId="12" w16cid:durableId="1344891410">
    <w:abstractNumId w:val="11"/>
  </w:num>
  <w:num w:numId="13" w16cid:durableId="2023899324">
    <w:abstractNumId w:val="14"/>
  </w:num>
  <w:num w:numId="14" w16cid:durableId="430587014">
    <w:abstractNumId w:val="9"/>
  </w:num>
  <w:num w:numId="15" w16cid:durableId="1742869061">
    <w:abstractNumId w:val="37"/>
  </w:num>
  <w:num w:numId="16" w16cid:durableId="1996450437">
    <w:abstractNumId w:val="23"/>
  </w:num>
  <w:num w:numId="17" w16cid:durableId="1529031027">
    <w:abstractNumId w:val="10"/>
  </w:num>
  <w:num w:numId="18" w16cid:durableId="568614617">
    <w:abstractNumId w:val="21"/>
  </w:num>
  <w:num w:numId="19" w16cid:durableId="1530605858">
    <w:abstractNumId w:val="50"/>
  </w:num>
  <w:num w:numId="20" w16cid:durableId="1328172586">
    <w:abstractNumId w:val="19"/>
  </w:num>
  <w:num w:numId="21" w16cid:durableId="184827816">
    <w:abstractNumId w:val="34"/>
  </w:num>
  <w:num w:numId="22" w16cid:durableId="1785346599">
    <w:abstractNumId w:val="40"/>
  </w:num>
  <w:num w:numId="23" w16cid:durableId="1294288901">
    <w:abstractNumId w:val="33"/>
  </w:num>
  <w:num w:numId="24" w16cid:durableId="1603957975">
    <w:abstractNumId w:val="52"/>
  </w:num>
  <w:num w:numId="25" w16cid:durableId="1659531047">
    <w:abstractNumId w:val="51"/>
  </w:num>
  <w:num w:numId="26" w16cid:durableId="752774403">
    <w:abstractNumId w:val="29"/>
  </w:num>
  <w:num w:numId="27" w16cid:durableId="347872198">
    <w:abstractNumId w:val="8"/>
  </w:num>
  <w:num w:numId="28" w16cid:durableId="537133110">
    <w:abstractNumId w:val="15"/>
  </w:num>
  <w:num w:numId="29" w16cid:durableId="1632318729">
    <w:abstractNumId w:val="53"/>
  </w:num>
  <w:num w:numId="30" w16cid:durableId="1268124074">
    <w:abstractNumId w:val="39"/>
  </w:num>
  <w:num w:numId="31" w16cid:durableId="887108748">
    <w:abstractNumId w:val="36"/>
  </w:num>
  <w:num w:numId="32" w16cid:durableId="1826125712">
    <w:abstractNumId w:val="42"/>
  </w:num>
  <w:num w:numId="33" w16cid:durableId="823357978">
    <w:abstractNumId w:val="47"/>
  </w:num>
  <w:num w:numId="34" w16cid:durableId="1092120443">
    <w:abstractNumId w:val="46"/>
  </w:num>
  <w:num w:numId="35" w16cid:durableId="124861188">
    <w:abstractNumId w:val="13"/>
  </w:num>
  <w:num w:numId="36" w16cid:durableId="1952588250">
    <w:abstractNumId w:val="44"/>
  </w:num>
  <w:num w:numId="37" w16cid:durableId="1712027211">
    <w:abstractNumId w:val="6"/>
  </w:num>
  <w:num w:numId="38" w16cid:durableId="2033795929">
    <w:abstractNumId w:val="3"/>
  </w:num>
  <w:num w:numId="39" w16cid:durableId="1238595582">
    <w:abstractNumId w:val="31"/>
  </w:num>
  <w:num w:numId="40" w16cid:durableId="416558262">
    <w:abstractNumId w:val="28"/>
  </w:num>
  <w:num w:numId="41" w16cid:durableId="1543715517">
    <w:abstractNumId w:val="22"/>
  </w:num>
  <w:num w:numId="42" w16cid:durableId="452208391">
    <w:abstractNumId w:val="17"/>
  </w:num>
  <w:num w:numId="43" w16cid:durableId="260340070">
    <w:abstractNumId w:val="0"/>
  </w:num>
  <w:num w:numId="44" w16cid:durableId="1639914969">
    <w:abstractNumId w:val="7"/>
  </w:num>
  <w:num w:numId="45" w16cid:durableId="1554191892">
    <w:abstractNumId w:val="48"/>
  </w:num>
  <w:num w:numId="46" w16cid:durableId="947811845">
    <w:abstractNumId w:val="54"/>
  </w:num>
  <w:num w:numId="47" w16cid:durableId="342588554">
    <w:abstractNumId w:val="32"/>
  </w:num>
  <w:num w:numId="48" w16cid:durableId="318391343">
    <w:abstractNumId w:val="43"/>
  </w:num>
  <w:num w:numId="49" w16cid:durableId="339360326">
    <w:abstractNumId w:val="45"/>
  </w:num>
  <w:num w:numId="50" w16cid:durableId="2145148980">
    <w:abstractNumId w:val="1"/>
  </w:num>
  <w:num w:numId="51" w16cid:durableId="1806049416">
    <w:abstractNumId w:val="18"/>
  </w:num>
  <w:num w:numId="52" w16cid:durableId="997997211">
    <w:abstractNumId w:val="4"/>
  </w:num>
  <w:num w:numId="53" w16cid:durableId="1168524994">
    <w:abstractNumId w:val="27"/>
  </w:num>
  <w:num w:numId="54" w16cid:durableId="1830636703">
    <w:abstractNumId w:val="26"/>
  </w:num>
  <w:num w:numId="55" w16cid:durableId="1788548377">
    <w:abstractNumId w:val="12"/>
  </w:num>
  <w:num w:numId="56" w16cid:durableId="574317522">
    <w:abstractNumId w:val="2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8"/>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7D1"/>
    <w:rsid w:val="00034EDB"/>
    <w:rsid w:val="00035464"/>
    <w:rsid w:val="000372C9"/>
    <w:rsid w:val="000403CE"/>
    <w:rsid w:val="00040F2E"/>
    <w:rsid w:val="00040F48"/>
    <w:rsid w:val="00040FD1"/>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3DF"/>
    <w:rsid w:val="00061CCB"/>
    <w:rsid w:val="00062223"/>
    <w:rsid w:val="00062526"/>
    <w:rsid w:val="00064195"/>
    <w:rsid w:val="00064FDB"/>
    <w:rsid w:val="00065A4A"/>
    <w:rsid w:val="00065B77"/>
    <w:rsid w:val="0006692A"/>
    <w:rsid w:val="00067899"/>
    <w:rsid w:val="00067E05"/>
    <w:rsid w:val="000702AA"/>
    <w:rsid w:val="000704DB"/>
    <w:rsid w:val="0007152C"/>
    <w:rsid w:val="00071C1F"/>
    <w:rsid w:val="0007502A"/>
    <w:rsid w:val="00075B10"/>
    <w:rsid w:val="00077778"/>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6CA"/>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5A1B"/>
    <w:rsid w:val="0011644D"/>
    <w:rsid w:val="00116A94"/>
    <w:rsid w:val="001174BF"/>
    <w:rsid w:val="001206CE"/>
    <w:rsid w:val="001221BA"/>
    <w:rsid w:val="00122504"/>
    <w:rsid w:val="00122733"/>
    <w:rsid w:val="00123F5C"/>
    <w:rsid w:val="00124AA5"/>
    <w:rsid w:val="00124C48"/>
    <w:rsid w:val="00124C56"/>
    <w:rsid w:val="00134550"/>
    <w:rsid w:val="00134681"/>
    <w:rsid w:val="00136F5B"/>
    <w:rsid w:val="00137257"/>
    <w:rsid w:val="00137BB2"/>
    <w:rsid w:val="00140A55"/>
    <w:rsid w:val="00140BD0"/>
    <w:rsid w:val="00141D8E"/>
    <w:rsid w:val="00142B76"/>
    <w:rsid w:val="00144837"/>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CFE"/>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59D0"/>
    <w:rsid w:val="001B5E67"/>
    <w:rsid w:val="001B60DE"/>
    <w:rsid w:val="001B6CFA"/>
    <w:rsid w:val="001C008B"/>
    <w:rsid w:val="001C0769"/>
    <w:rsid w:val="001C1838"/>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9A4"/>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69C"/>
    <w:rsid w:val="002841E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76D"/>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03A"/>
    <w:rsid w:val="0032007E"/>
    <w:rsid w:val="003218C6"/>
    <w:rsid w:val="00322528"/>
    <w:rsid w:val="00322783"/>
    <w:rsid w:val="00322BCF"/>
    <w:rsid w:val="003243E3"/>
    <w:rsid w:val="00324698"/>
    <w:rsid w:val="00325558"/>
    <w:rsid w:val="00325771"/>
    <w:rsid w:val="00325E0E"/>
    <w:rsid w:val="00326E05"/>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B74"/>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B7985"/>
    <w:rsid w:val="003C16DA"/>
    <w:rsid w:val="003C5BA2"/>
    <w:rsid w:val="003D141B"/>
    <w:rsid w:val="003D17C7"/>
    <w:rsid w:val="003D1B49"/>
    <w:rsid w:val="003D1CF3"/>
    <w:rsid w:val="003D207B"/>
    <w:rsid w:val="003D244B"/>
    <w:rsid w:val="003D2F57"/>
    <w:rsid w:val="003D4F6F"/>
    <w:rsid w:val="003D5104"/>
    <w:rsid w:val="003D56A4"/>
    <w:rsid w:val="003D6DA5"/>
    <w:rsid w:val="003E037B"/>
    <w:rsid w:val="003E38C7"/>
    <w:rsid w:val="003E43FE"/>
    <w:rsid w:val="003E4C62"/>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55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43FD"/>
    <w:rsid w:val="004557A1"/>
    <w:rsid w:val="00455E1B"/>
    <w:rsid w:val="00460A6D"/>
    <w:rsid w:val="00461552"/>
    <w:rsid w:val="00463D40"/>
    <w:rsid w:val="00464C5E"/>
    <w:rsid w:val="0046509D"/>
    <w:rsid w:val="00465B8D"/>
    <w:rsid w:val="00465BE4"/>
    <w:rsid w:val="00465C02"/>
    <w:rsid w:val="004677D5"/>
    <w:rsid w:val="00467A1C"/>
    <w:rsid w:val="00470095"/>
    <w:rsid w:val="00470D19"/>
    <w:rsid w:val="0047106C"/>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564E"/>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AA8"/>
    <w:rsid w:val="004C3866"/>
    <w:rsid w:val="004C3A52"/>
    <w:rsid w:val="004C6739"/>
    <w:rsid w:val="004C70AC"/>
    <w:rsid w:val="004D2730"/>
    <w:rsid w:val="004D3416"/>
    <w:rsid w:val="004D5810"/>
    <w:rsid w:val="004D6484"/>
    <w:rsid w:val="004D7C53"/>
    <w:rsid w:val="004E4DFE"/>
    <w:rsid w:val="004E4F56"/>
    <w:rsid w:val="004E51B5"/>
    <w:rsid w:val="004F0C55"/>
    <w:rsid w:val="004F276F"/>
    <w:rsid w:val="004F48E8"/>
    <w:rsid w:val="004F5354"/>
    <w:rsid w:val="00501CCF"/>
    <w:rsid w:val="00502833"/>
    <w:rsid w:val="00502C8A"/>
    <w:rsid w:val="00502F7A"/>
    <w:rsid w:val="00504B4A"/>
    <w:rsid w:val="00505115"/>
    <w:rsid w:val="00505C53"/>
    <w:rsid w:val="005065AF"/>
    <w:rsid w:val="00507978"/>
    <w:rsid w:val="0051025C"/>
    <w:rsid w:val="005120F3"/>
    <w:rsid w:val="00512D50"/>
    <w:rsid w:val="00512EA5"/>
    <w:rsid w:val="005133A4"/>
    <w:rsid w:val="00513425"/>
    <w:rsid w:val="00514004"/>
    <w:rsid w:val="0051416D"/>
    <w:rsid w:val="00514B44"/>
    <w:rsid w:val="005178CB"/>
    <w:rsid w:val="00517AB0"/>
    <w:rsid w:val="00517BD8"/>
    <w:rsid w:val="00520C52"/>
    <w:rsid w:val="00520CBB"/>
    <w:rsid w:val="00521C4F"/>
    <w:rsid w:val="00522477"/>
    <w:rsid w:val="0052294E"/>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6F3"/>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573B"/>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374"/>
    <w:rsid w:val="005C327C"/>
    <w:rsid w:val="005C4420"/>
    <w:rsid w:val="005C4FBB"/>
    <w:rsid w:val="005C5681"/>
    <w:rsid w:val="005C6A1D"/>
    <w:rsid w:val="005C765C"/>
    <w:rsid w:val="005C7DF6"/>
    <w:rsid w:val="005D02C9"/>
    <w:rsid w:val="005D464C"/>
    <w:rsid w:val="005D55BE"/>
    <w:rsid w:val="005D7CD4"/>
    <w:rsid w:val="005E0296"/>
    <w:rsid w:val="005E1A81"/>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DF3"/>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6728A"/>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19"/>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1ED"/>
    <w:rsid w:val="006C7324"/>
    <w:rsid w:val="006D005C"/>
    <w:rsid w:val="006D0F88"/>
    <w:rsid w:val="006D261A"/>
    <w:rsid w:val="006D2944"/>
    <w:rsid w:val="006D3391"/>
    <w:rsid w:val="006D43AA"/>
    <w:rsid w:val="006D4C70"/>
    <w:rsid w:val="006D5605"/>
    <w:rsid w:val="006E107C"/>
    <w:rsid w:val="006E114C"/>
    <w:rsid w:val="006E18FD"/>
    <w:rsid w:val="006E23C1"/>
    <w:rsid w:val="006E43A6"/>
    <w:rsid w:val="006E49E3"/>
    <w:rsid w:val="006E5C5F"/>
    <w:rsid w:val="006E5EE5"/>
    <w:rsid w:val="006E6B58"/>
    <w:rsid w:val="006E7195"/>
    <w:rsid w:val="006E7DC6"/>
    <w:rsid w:val="006F0E83"/>
    <w:rsid w:val="006F13BA"/>
    <w:rsid w:val="006F2FC8"/>
    <w:rsid w:val="006F344F"/>
    <w:rsid w:val="006F3CBF"/>
    <w:rsid w:val="006F531C"/>
    <w:rsid w:val="006F53B6"/>
    <w:rsid w:val="006F7123"/>
    <w:rsid w:val="006F79F3"/>
    <w:rsid w:val="0070013E"/>
    <w:rsid w:val="00702413"/>
    <w:rsid w:val="00702929"/>
    <w:rsid w:val="00702E5A"/>
    <w:rsid w:val="00703034"/>
    <w:rsid w:val="007032D7"/>
    <w:rsid w:val="007055F4"/>
    <w:rsid w:val="00705948"/>
    <w:rsid w:val="00705ADE"/>
    <w:rsid w:val="007066F4"/>
    <w:rsid w:val="00706DEC"/>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748"/>
    <w:rsid w:val="00740BD6"/>
    <w:rsid w:val="007419BF"/>
    <w:rsid w:val="00741AA1"/>
    <w:rsid w:val="0074258C"/>
    <w:rsid w:val="00742723"/>
    <w:rsid w:val="0074291C"/>
    <w:rsid w:val="00742D5F"/>
    <w:rsid w:val="00743313"/>
    <w:rsid w:val="007437F3"/>
    <w:rsid w:val="007443A8"/>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48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215"/>
    <w:rsid w:val="007C77AA"/>
    <w:rsid w:val="007D33C4"/>
    <w:rsid w:val="007D3472"/>
    <w:rsid w:val="007D366D"/>
    <w:rsid w:val="007D4EBE"/>
    <w:rsid w:val="007D5868"/>
    <w:rsid w:val="007D5CFF"/>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E4C"/>
    <w:rsid w:val="008017F9"/>
    <w:rsid w:val="00802A4B"/>
    <w:rsid w:val="00804575"/>
    <w:rsid w:val="008047E1"/>
    <w:rsid w:val="00804EC7"/>
    <w:rsid w:val="00805459"/>
    <w:rsid w:val="008063B5"/>
    <w:rsid w:val="00806435"/>
    <w:rsid w:val="00806AB6"/>
    <w:rsid w:val="008100C1"/>
    <w:rsid w:val="00811FC6"/>
    <w:rsid w:val="0081210B"/>
    <w:rsid w:val="0081265C"/>
    <w:rsid w:val="00812C1E"/>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131"/>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B"/>
    <w:rsid w:val="008D018C"/>
    <w:rsid w:val="008D0461"/>
    <w:rsid w:val="008D0528"/>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823"/>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46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3540"/>
    <w:rsid w:val="0092389A"/>
    <w:rsid w:val="00926863"/>
    <w:rsid w:val="00926D7F"/>
    <w:rsid w:val="009307C9"/>
    <w:rsid w:val="0093086E"/>
    <w:rsid w:val="00931F08"/>
    <w:rsid w:val="00932230"/>
    <w:rsid w:val="00932540"/>
    <w:rsid w:val="0093344C"/>
    <w:rsid w:val="009338F2"/>
    <w:rsid w:val="00933F3C"/>
    <w:rsid w:val="00934657"/>
    <w:rsid w:val="0093663E"/>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2E5"/>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0083"/>
    <w:rsid w:val="009C00AC"/>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1CCF"/>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92E"/>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0F"/>
    <w:rsid w:val="00A9656E"/>
    <w:rsid w:val="00AA186B"/>
    <w:rsid w:val="00AA38F6"/>
    <w:rsid w:val="00AA4965"/>
    <w:rsid w:val="00AA6DDB"/>
    <w:rsid w:val="00AB0830"/>
    <w:rsid w:val="00AB2CCC"/>
    <w:rsid w:val="00AB3284"/>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262"/>
    <w:rsid w:val="00B0479E"/>
    <w:rsid w:val="00B048EF"/>
    <w:rsid w:val="00B05B53"/>
    <w:rsid w:val="00B0643B"/>
    <w:rsid w:val="00B064D5"/>
    <w:rsid w:val="00B065CB"/>
    <w:rsid w:val="00B068ED"/>
    <w:rsid w:val="00B1013D"/>
    <w:rsid w:val="00B1077E"/>
    <w:rsid w:val="00B10A2D"/>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9DB"/>
    <w:rsid w:val="00B20D58"/>
    <w:rsid w:val="00B22535"/>
    <w:rsid w:val="00B2441D"/>
    <w:rsid w:val="00B24714"/>
    <w:rsid w:val="00B24E10"/>
    <w:rsid w:val="00B25379"/>
    <w:rsid w:val="00B25E7E"/>
    <w:rsid w:val="00B2670C"/>
    <w:rsid w:val="00B31042"/>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3A00"/>
    <w:rsid w:val="00B54876"/>
    <w:rsid w:val="00B56945"/>
    <w:rsid w:val="00B610C2"/>
    <w:rsid w:val="00B61B6F"/>
    <w:rsid w:val="00B61CE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4AF3"/>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4CC"/>
    <w:rsid w:val="00BB3989"/>
    <w:rsid w:val="00BB44CD"/>
    <w:rsid w:val="00BB58AA"/>
    <w:rsid w:val="00BB667C"/>
    <w:rsid w:val="00BB7964"/>
    <w:rsid w:val="00BC0309"/>
    <w:rsid w:val="00BC1037"/>
    <w:rsid w:val="00BC2767"/>
    <w:rsid w:val="00BC2F0B"/>
    <w:rsid w:val="00BC3206"/>
    <w:rsid w:val="00BC422B"/>
    <w:rsid w:val="00BC4832"/>
    <w:rsid w:val="00BC48CA"/>
    <w:rsid w:val="00BC5451"/>
    <w:rsid w:val="00BC5744"/>
    <w:rsid w:val="00BC5A37"/>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D8A"/>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A72"/>
    <w:rsid w:val="00C25F98"/>
    <w:rsid w:val="00C26867"/>
    <w:rsid w:val="00C27879"/>
    <w:rsid w:val="00C30240"/>
    <w:rsid w:val="00C3135C"/>
    <w:rsid w:val="00C3244D"/>
    <w:rsid w:val="00C326AB"/>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C6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58C"/>
    <w:rsid w:val="00D01B92"/>
    <w:rsid w:val="00D01F80"/>
    <w:rsid w:val="00D02935"/>
    <w:rsid w:val="00D02C80"/>
    <w:rsid w:val="00D02FA1"/>
    <w:rsid w:val="00D056CE"/>
    <w:rsid w:val="00D056E9"/>
    <w:rsid w:val="00D07673"/>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B8C"/>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682"/>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5C8B"/>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FE5"/>
    <w:rsid w:val="00DD292A"/>
    <w:rsid w:val="00DD3144"/>
    <w:rsid w:val="00DD35ED"/>
    <w:rsid w:val="00DD3B33"/>
    <w:rsid w:val="00DD4AEB"/>
    <w:rsid w:val="00DD694D"/>
    <w:rsid w:val="00DD72BD"/>
    <w:rsid w:val="00DD761B"/>
    <w:rsid w:val="00DE0079"/>
    <w:rsid w:val="00DE0517"/>
    <w:rsid w:val="00DE11DA"/>
    <w:rsid w:val="00DE3DC0"/>
    <w:rsid w:val="00DE5DE8"/>
    <w:rsid w:val="00DE78F0"/>
    <w:rsid w:val="00DF001D"/>
    <w:rsid w:val="00DF0A63"/>
    <w:rsid w:val="00DF2285"/>
    <w:rsid w:val="00DF3F6F"/>
    <w:rsid w:val="00DF4489"/>
    <w:rsid w:val="00DF50B5"/>
    <w:rsid w:val="00DF6212"/>
    <w:rsid w:val="00DF6BF3"/>
    <w:rsid w:val="00DF6C42"/>
    <w:rsid w:val="00DF7242"/>
    <w:rsid w:val="00DF7DE6"/>
    <w:rsid w:val="00E01D79"/>
    <w:rsid w:val="00E020A8"/>
    <w:rsid w:val="00E02101"/>
    <w:rsid w:val="00E03122"/>
    <w:rsid w:val="00E03A10"/>
    <w:rsid w:val="00E03F7B"/>
    <w:rsid w:val="00E04C04"/>
    <w:rsid w:val="00E054E4"/>
    <w:rsid w:val="00E11F06"/>
    <w:rsid w:val="00E121D3"/>
    <w:rsid w:val="00E122B2"/>
    <w:rsid w:val="00E12745"/>
    <w:rsid w:val="00E12B4B"/>
    <w:rsid w:val="00E139A9"/>
    <w:rsid w:val="00E1464F"/>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33F"/>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0B17"/>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150"/>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CB8"/>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9C4"/>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2C"/>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BE4"/>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180"/>
    <w:rsid w:val="00FE6453"/>
    <w:rsid w:val="00FE66B1"/>
    <w:rsid w:val="00FE6EEC"/>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9162304/https://eur-lex.europa.eu/eli/reg_del/2021/1255/oj/eng"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eur-lex.europa.eu/eli/reg_del/2021/1253/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29162316/https://eur-lex.europa.eu/eli/reg_del/2021/1257/oj/e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www.w3.org/XML/1998/namespace"/>
    <ds:schemaRef ds:uri="http://schemas.microsoft.com/office/infopath/2007/PartnerControls"/>
    <ds:schemaRef ds:uri="http://purl.org/dc/dcmitype/"/>
    <ds:schemaRef ds:uri="http://schemas.microsoft.com/office/2006/documentManagement/types"/>
    <ds:schemaRef ds:uri="http://schemas.openxmlformats.org/package/2006/metadata/core-properties"/>
    <ds:schemaRef ds:uri="c3602c21-e7c0-460f-98aa-ced99acbd232"/>
    <ds:schemaRef ds:uri="http://schemas.microsoft.com/office/2006/metadata/properties"/>
    <ds:schemaRef ds:uri="http://purl.org/dc/terms/"/>
    <ds:schemaRef ds:uri="http://purl.org/dc/elements/1.1/"/>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73859D32-0108-44D5-B43A-35C634B46EA6}"/>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114</Pages>
  <Words>23576</Words>
  <Characters>134384</Characters>
  <Application>Microsoft Office Word</Application>
  <DocSecurity>0</DocSecurity>
  <Lines>1119</Lines>
  <Paragraphs>315</Paragraphs>
  <ScaleCrop>false</ScaleCrop>
  <Company/>
  <LinksUpToDate>false</LinksUpToDate>
  <CharactersWithSpaces>157645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106</cp:revision>
  <cp:lastPrinted>2025-03-21T00:14:00Z</cp:lastPrinted>
  <dcterms:created xsi:type="dcterms:W3CDTF">2025-06-19T08:53:00Z</dcterms:created>
  <dcterms:modified xsi:type="dcterms:W3CDTF">2025-07-29T21:49:00Z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